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FA998D7" w:rsidR="00E22A64" w:rsidRDefault="00601D7D">
      <w:pPr>
        <w:pStyle w:val="Heading2"/>
      </w:pPr>
      <w:bookmarkStart w:id="0" w:name="_bjwlq6ekwae6" w:colFirst="0" w:colLast="0"/>
      <w:bookmarkEnd w:id="0"/>
      <w:r>
        <w:t xml:space="preserve">Background </w:t>
      </w:r>
      <w:r w:rsidR="00352D18">
        <w:t xml:space="preserve">Update on Potential Environmental Issue </w:t>
      </w:r>
    </w:p>
    <w:p w14:paraId="00000002" w14:textId="77777777" w:rsidR="00E22A64" w:rsidRDefault="00E22A64">
      <w:pPr>
        <w:pStyle w:val="Normal1"/>
        <w:rPr>
          <w:rFonts w:ascii="Times New Roman" w:eastAsia="Times New Roman" w:hAnsi="Times New Roman" w:cs="Times New Roman"/>
        </w:rPr>
      </w:pPr>
    </w:p>
    <w:p w14:paraId="3701BB35" w14:textId="4B874EE5" w:rsidR="000E473A" w:rsidRDefault="00601D7D">
      <w:pPr>
        <w:pStyle w:val="Normal1"/>
        <w:pBdr>
          <w:top w:val="nil"/>
          <w:left w:val="nil"/>
          <w:bottom w:val="nil"/>
          <w:right w:val="nil"/>
          <w:between w:val="nil"/>
        </w:pBdr>
        <w:tabs>
          <w:tab w:val="left" w:pos="1080"/>
        </w:tabs>
        <w:rPr>
          <w:rFonts w:ascii="Times New Roman" w:eastAsia="Times New Roman" w:hAnsi="Times New Roman" w:cs="Times New Roman"/>
          <w:b/>
        </w:rPr>
      </w:pPr>
      <w:r>
        <w:rPr>
          <w:rFonts w:ascii="Times New Roman" w:eastAsia="Times New Roman" w:hAnsi="Times New Roman" w:cs="Times New Roman"/>
          <w:b/>
        </w:rPr>
        <w:t xml:space="preserve">2021 </w:t>
      </w:r>
      <w:r w:rsidR="00352D18">
        <w:rPr>
          <w:rFonts w:ascii="Times New Roman" w:eastAsia="Times New Roman" w:hAnsi="Times New Roman" w:cs="Times New Roman"/>
          <w:b/>
        </w:rPr>
        <w:t xml:space="preserve">Update: Semi-annual groundwater samples taken in </w:t>
      </w:r>
      <w:r w:rsidR="000E473A">
        <w:rPr>
          <w:rFonts w:ascii="Times New Roman" w:eastAsia="Times New Roman" w:hAnsi="Times New Roman" w:cs="Times New Roman"/>
          <w:b/>
        </w:rPr>
        <w:t>June-July 2021</w:t>
      </w:r>
    </w:p>
    <w:p w14:paraId="65F352DF" w14:textId="2D6305A8" w:rsidR="000E473A" w:rsidRPr="000E473A" w:rsidRDefault="000E473A" w:rsidP="000E473A">
      <w:pPr>
        <w:pStyle w:val="Normal1"/>
        <w:pBdr>
          <w:top w:val="nil"/>
          <w:left w:val="nil"/>
          <w:bottom w:val="nil"/>
          <w:right w:val="nil"/>
          <w:between w:val="nil"/>
        </w:pBdr>
        <w:tabs>
          <w:tab w:val="left" w:pos="1080"/>
        </w:tabs>
        <w:rPr>
          <w:rFonts w:ascii="Times New Roman" w:eastAsia="Times New Roman" w:hAnsi="Times New Roman" w:cs="Times New Roman"/>
          <w:b/>
        </w:rPr>
      </w:pPr>
      <w:r w:rsidRPr="000E473A">
        <w:rPr>
          <w:rFonts w:ascii="Times New Roman" w:eastAsia="Times New Roman" w:hAnsi="Times New Roman" w:cs="Times New Roman"/>
          <w:b/>
        </w:rPr>
        <w:t>The results for the wells within the plume were similar to previous</w:t>
      </w:r>
      <w:r>
        <w:rPr>
          <w:rFonts w:ascii="Times New Roman" w:eastAsia="Times New Roman" w:hAnsi="Times New Roman" w:cs="Times New Roman"/>
          <w:b/>
        </w:rPr>
        <w:t xml:space="preserve"> </w:t>
      </w:r>
      <w:r w:rsidRPr="000E473A">
        <w:rPr>
          <w:rFonts w:ascii="Times New Roman" w:eastAsia="Times New Roman" w:hAnsi="Times New Roman" w:cs="Times New Roman"/>
          <w:b/>
        </w:rPr>
        <w:t>data and demonstrated steady to declining concentration trends) for all</w:t>
      </w:r>
      <w:r>
        <w:rPr>
          <w:rFonts w:ascii="Times New Roman" w:eastAsia="Times New Roman" w:hAnsi="Times New Roman" w:cs="Times New Roman"/>
          <w:b/>
        </w:rPr>
        <w:t xml:space="preserve"> </w:t>
      </w:r>
      <w:r w:rsidRPr="000E473A">
        <w:rPr>
          <w:rFonts w:ascii="Times New Roman" w:eastAsia="Times New Roman" w:hAnsi="Times New Roman" w:cs="Times New Roman"/>
          <w:b/>
        </w:rPr>
        <w:t xml:space="preserve">wells and all compounds between </w:t>
      </w:r>
      <w:r w:rsidR="00601D7D">
        <w:rPr>
          <w:rFonts w:ascii="Times New Roman" w:eastAsia="Times New Roman" w:hAnsi="Times New Roman" w:cs="Times New Roman"/>
          <w:b/>
        </w:rPr>
        <w:t>2019</w:t>
      </w:r>
      <w:r w:rsidRPr="000E473A">
        <w:rPr>
          <w:rFonts w:ascii="Times New Roman" w:eastAsia="Times New Roman" w:hAnsi="Times New Roman" w:cs="Times New Roman"/>
          <w:b/>
        </w:rPr>
        <w:t xml:space="preserve"> and June/July 2021. </w:t>
      </w:r>
    </w:p>
    <w:p w14:paraId="4BE8D43E" w14:textId="77777777" w:rsidR="0009312F" w:rsidRDefault="0009312F">
      <w:pPr>
        <w:pStyle w:val="Normal1"/>
        <w:pBdr>
          <w:top w:val="nil"/>
          <w:left w:val="nil"/>
          <w:bottom w:val="nil"/>
          <w:right w:val="nil"/>
          <w:between w:val="nil"/>
        </w:pBdr>
        <w:tabs>
          <w:tab w:val="left" w:pos="1080"/>
        </w:tabs>
        <w:rPr>
          <w:rFonts w:ascii="Times New Roman" w:eastAsia="Times New Roman" w:hAnsi="Times New Roman" w:cs="Times New Roman"/>
        </w:rPr>
      </w:pPr>
    </w:p>
    <w:p w14:paraId="00000005" w14:textId="03B8E21F" w:rsidR="00E22A64" w:rsidRDefault="00601D7D">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Background: </w:t>
      </w:r>
      <w:r w:rsidR="00352D18">
        <w:rPr>
          <w:rFonts w:ascii="Times New Roman" w:eastAsia="Times New Roman" w:hAnsi="Times New Roman" w:cs="Times New Roman"/>
          <w:color w:val="000000"/>
        </w:rPr>
        <w:t xml:space="preserve">In fall 2017 Fairlington Meadows was notified of a </w:t>
      </w:r>
      <w:r w:rsidR="00352D18">
        <w:rPr>
          <w:rFonts w:ascii="Times New Roman" w:eastAsia="Times New Roman" w:hAnsi="Times New Roman" w:cs="Times New Roman"/>
        </w:rPr>
        <w:t>potential</w:t>
      </w:r>
      <w:r w:rsidR="00352D18">
        <w:rPr>
          <w:rFonts w:ascii="Times New Roman" w:eastAsia="Times New Roman" w:hAnsi="Times New Roman" w:cs="Times New Roman"/>
          <w:color w:val="000000"/>
        </w:rPr>
        <w:t xml:space="preserve"> environmental issue stemm</w:t>
      </w:r>
      <w:r w:rsidR="00352D18">
        <w:rPr>
          <w:rFonts w:ascii="Times New Roman" w:eastAsia="Times New Roman" w:hAnsi="Times New Roman" w:cs="Times New Roman"/>
        </w:rPr>
        <w:t>ing</w:t>
      </w:r>
      <w:r w:rsidR="00352D18">
        <w:rPr>
          <w:rFonts w:ascii="Times New Roman" w:eastAsia="Times New Roman" w:hAnsi="Times New Roman" w:cs="Times New Roman"/>
          <w:color w:val="000000"/>
        </w:rPr>
        <w:t xml:space="preserve"> from the dumping of chemicals associated with a former dry-cleaning business in the Fairlington Shopping Center. </w:t>
      </w:r>
    </w:p>
    <w:p w14:paraId="00000006"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07"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rPr>
        <w:t>E</w:t>
      </w:r>
      <w:r>
        <w:rPr>
          <w:rFonts w:ascii="Times New Roman" w:eastAsia="Times New Roman" w:hAnsi="Times New Roman" w:cs="Times New Roman"/>
          <w:color w:val="000000"/>
        </w:rPr>
        <w:t xml:space="preserve">nvironmental testing </w:t>
      </w:r>
      <w:r>
        <w:rPr>
          <w:rFonts w:ascii="Times New Roman" w:eastAsia="Times New Roman" w:hAnsi="Times New Roman" w:cs="Times New Roman"/>
        </w:rPr>
        <w:t>for PCE (</w:t>
      </w:r>
      <w:proofErr w:type="spellStart"/>
      <w:r>
        <w:rPr>
          <w:rFonts w:ascii="Times New Roman" w:eastAsia="Times New Roman" w:hAnsi="Times New Roman" w:cs="Times New Roman"/>
        </w:rPr>
        <w:t>Tetrachoroethene</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was conducted near courts 6 and 7 in an effort to determine whether the </w:t>
      </w:r>
      <w:r>
        <w:rPr>
          <w:rFonts w:ascii="Times New Roman" w:eastAsia="Times New Roman" w:hAnsi="Times New Roman" w:cs="Times New Roman"/>
        </w:rPr>
        <w:t>groundwater contamination</w:t>
      </w:r>
      <w:r>
        <w:rPr>
          <w:rFonts w:ascii="Times New Roman" w:eastAsia="Times New Roman" w:hAnsi="Times New Roman" w:cs="Times New Roman"/>
          <w:color w:val="000000"/>
        </w:rPr>
        <w:t xml:space="preserve"> that impacted the Fairlington Glen community had migrated into Fairlington Meadows. </w:t>
      </w:r>
    </w:p>
    <w:p w14:paraId="00000008"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09"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ECS Mid-Atlantic, LLC, an environmental consulting firm, monitored by the Virginia Department of Environmental Quality (VDEQ), drilled eight two-inch diameter holes in Meadows and insert PVC pipes about 15 to 20 inches deep to take samples of </w:t>
      </w:r>
      <w:r>
        <w:rPr>
          <w:rFonts w:ascii="Times New Roman" w:eastAsia="Times New Roman" w:hAnsi="Times New Roman" w:cs="Times New Roman"/>
        </w:rPr>
        <w:t>groundwater</w:t>
      </w:r>
      <w:r>
        <w:rPr>
          <w:rFonts w:ascii="Times New Roman" w:eastAsia="Times New Roman" w:hAnsi="Times New Roman" w:cs="Times New Roman"/>
          <w:color w:val="000000"/>
        </w:rPr>
        <w:t xml:space="preserve">. At the conclusion of the exercise the pipes were removed, holes sealed and soil restored.  </w:t>
      </w:r>
    </w:p>
    <w:p w14:paraId="0000000A"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0B"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Subsequent to the analysis of test samples, interpreted results determined that the contaminant plume touched on some Fairlington Meadows property, however it did not reach any residential units in Fairlington Meadows. </w:t>
      </w:r>
    </w:p>
    <w:p w14:paraId="0000000C"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0F" w14:textId="77777777" w:rsidR="00E22A64" w:rsidRDefault="00352D18">
      <w:pPr>
        <w:pStyle w:val="Normal1"/>
        <w:rPr>
          <w:rFonts w:ascii="Times New Roman" w:eastAsia="Times New Roman" w:hAnsi="Times New Roman" w:cs="Times New Roman"/>
          <w:color w:val="222222"/>
        </w:rPr>
      </w:pPr>
      <w:r>
        <w:rPr>
          <w:rFonts w:ascii="Times New Roman" w:eastAsia="Times New Roman" w:hAnsi="Times New Roman" w:cs="Times New Roman"/>
          <w:color w:val="222222"/>
        </w:rPr>
        <w:t xml:space="preserve">VDEQ uses a drinking water standard of 5 parts per billion as a measure of safe groundwater concentration levels, however, the risk is not from drinking the water, as all Fairlington water is supplied by Arlington Country directly from their water treatment plant, rather it is from the eventual decay of PCE into a gas, which potentially could seep through cracks in a basement slab, concentrate in a unit basement and become hazardous.       </w:t>
      </w:r>
    </w:p>
    <w:p w14:paraId="00000010" w14:textId="77777777" w:rsidR="00E22A64" w:rsidRDefault="00E22A64">
      <w:pPr>
        <w:pStyle w:val="Normal1"/>
        <w:rPr>
          <w:rFonts w:ascii="Times New Roman" w:eastAsia="Times New Roman" w:hAnsi="Times New Roman" w:cs="Times New Roman"/>
          <w:color w:val="222222"/>
        </w:rPr>
      </w:pPr>
    </w:p>
    <w:p w14:paraId="00000011" w14:textId="77777777" w:rsidR="00E22A64" w:rsidRDefault="00352D18">
      <w:pPr>
        <w:pStyle w:val="Normal1"/>
        <w:rPr>
          <w:rFonts w:ascii="Times New Roman" w:eastAsia="Times New Roman" w:hAnsi="Times New Roman" w:cs="Times New Roman"/>
          <w:color w:val="222222"/>
        </w:rPr>
      </w:pPr>
      <w:r>
        <w:rPr>
          <w:rFonts w:ascii="Times New Roman" w:eastAsia="Times New Roman" w:hAnsi="Times New Roman" w:cs="Times New Roman"/>
          <w:color w:val="222222"/>
        </w:rPr>
        <w:t xml:space="preserve">As PCE decays, it converts into TCE (Trichloroethene), then into c12DCO (cis-1,2, </w:t>
      </w:r>
      <w:proofErr w:type="spellStart"/>
      <w:r>
        <w:rPr>
          <w:rFonts w:ascii="Times New Roman" w:eastAsia="Times New Roman" w:hAnsi="Times New Roman" w:cs="Times New Roman"/>
          <w:color w:val="222222"/>
        </w:rPr>
        <w:t>Dichloroethene</w:t>
      </w:r>
      <w:proofErr w:type="spellEnd"/>
      <w:r>
        <w:rPr>
          <w:rFonts w:ascii="Times New Roman" w:eastAsia="Times New Roman" w:hAnsi="Times New Roman" w:cs="Times New Roman"/>
          <w:color w:val="222222"/>
        </w:rPr>
        <w:t xml:space="preserve">), which are liquids, and then into a gas.  Like for Radon, any potential hazard can be mitigated by venting the space under the basement slab. </w:t>
      </w:r>
    </w:p>
    <w:p w14:paraId="00000012" w14:textId="77777777" w:rsidR="00E22A64" w:rsidRDefault="00E22A64">
      <w:pPr>
        <w:pStyle w:val="Normal1"/>
        <w:pBdr>
          <w:top w:val="nil"/>
          <w:left w:val="nil"/>
          <w:bottom w:val="nil"/>
          <w:right w:val="nil"/>
          <w:between w:val="nil"/>
        </w:pBdr>
        <w:tabs>
          <w:tab w:val="left" w:pos="1080"/>
        </w:tabs>
        <w:rPr>
          <w:rFonts w:ascii="Arial" w:eastAsia="Arial" w:hAnsi="Arial" w:cs="Arial"/>
          <w:color w:val="000000"/>
        </w:rPr>
      </w:pPr>
    </w:p>
    <w:p w14:paraId="00000013"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rPr>
        <w:t>Following a Meadows community meeting with ECS</w:t>
      </w:r>
      <w:r>
        <w:rPr>
          <w:rFonts w:ascii="Times New Roman" w:eastAsia="Times New Roman" w:hAnsi="Times New Roman" w:cs="Times New Roman"/>
          <w:color w:val="000000"/>
        </w:rPr>
        <w:t xml:space="preserve"> </w:t>
      </w:r>
      <w:r>
        <w:rPr>
          <w:rFonts w:ascii="Times New Roman" w:eastAsia="Times New Roman" w:hAnsi="Times New Roman" w:cs="Times New Roman"/>
        </w:rPr>
        <w:t>where</w:t>
      </w:r>
      <w:r>
        <w:rPr>
          <w:rFonts w:ascii="Times New Roman" w:eastAsia="Times New Roman" w:hAnsi="Times New Roman" w:cs="Times New Roman"/>
          <w:color w:val="000000"/>
        </w:rPr>
        <w:t xml:space="preserve"> the extent of the contaminant plume in the area was shared, and since the plume came close to Fairlington Meadows, the Board of Directors requested additional drilling and testing to take place. </w:t>
      </w:r>
    </w:p>
    <w:p w14:paraId="00000014"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15"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Additional test wells were drilled in fall 2018 along the rear of Court </w:t>
      </w:r>
      <w:r>
        <w:rPr>
          <w:rFonts w:ascii="Times New Roman" w:eastAsia="Times New Roman" w:hAnsi="Times New Roman" w:cs="Times New Roman"/>
        </w:rPr>
        <w:t>6</w:t>
      </w:r>
      <w:r>
        <w:rPr>
          <w:rFonts w:ascii="Times New Roman" w:eastAsia="Times New Roman" w:hAnsi="Times New Roman" w:cs="Times New Roman"/>
          <w:color w:val="000000"/>
        </w:rPr>
        <w:t xml:space="preserve"> adjacent to the Fairlington Glen tennis courts. Nothing was found.   </w:t>
      </w:r>
    </w:p>
    <w:p w14:paraId="00000016" w14:textId="77777777" w:rsidR="00E22A64" w:rsidRDefault="00E22A64">
      <w:pPr>
        <w:pStyle w:val="Normal1"/>
        <w:rPr>
          <w:rFonts w:ascii="Times New Roman" w:eastAsia="Times New Roman" w:hAnsi="Times New Roman" w:cs="Times New Roman"/>
          <w:color w:val="222222"/>
        </w:rPr>
      </w:pPr>
    </w:p>
    <w:p w14:paraId="00000017" w14:textId="37A80252"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rPr>
      </w:pPr>
      <w:r>
        <w:rPr>
          <w:rFonts w:ascii="Times New Roman" w:eastAsia="Times New Roman" w:hAnsi="Times New Roman" w:cs="Times New Roman"/>
          <w:color w:val="000000"/>
        </w:rPr>
        <w:t>In December 2018, a permanent well was installed at the corner of S. Stafford and S. 35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Streets, </w:t>
      </w:r>
      <w:r>
        <w:rPr>
          <w:rFonts w:ascii="Times New Roman" w:eastAsia="Times New Roman" w:hAnsi="Times New Roman" w:cs="Times New Roman"/>
        </w:rPr>
        <w:t xml:space="preserve">a short distance from the Court 7 sampling point that indicated a PCE concentration of 149 </w:t>
      </w:r>
      <w:r w:rsidR="00601D7D">
        <w:rPr>
          <w:rFonts w:ascii="Times New Roman" w:eastAsia="Times New Roman" w:hAnsi="Times New Roman" w:cs="Times New Roman"/>
        </w:rPr>
        <w:t xml:space="preserve">parts </w:t>
      </w:r>
      <w:r>
        <w:rPr>
          <w:rFonts w:ascii="Times New Roman" w:eastAsia="Times New Roman" w:hAnsi="Times New Roman" w:cs="Times New Roman"/>
        </w:rPr>
        <w:t>per billion</w:t>
      </w:r>
      <w:r w:rsidR="00601D7D">
        <w:rPr>
          <w:rFonts w:ascii="Times New Roman" w:eastAsia="Times New Roman" w:hAnsi="Times New Roman" w:cs="Times New Roman"/>
        </w:rPr>
        <w:t xml:space="preserve"> (ppb), </w:t>
      </w:r>
      <w:r>
        <w:rPr>
          <w:rFonts w:ascii="Times New Roman" w:eastAsia="Times New Roman" w:hAnsi="Times New Roman" w:cs="Times New Roman"/>
          <w:color w:val="222222"/>
        </w:rPr>
        <w:t>at location MW-16</w:t>
      </w:r>
      <w:r w:rsidR="00601D7D">
        <w:rPr>
          <w:rFonts w:ascii="Times New Roman" w:eastAsia="Times New Roman" w:hAnsi="Times New Roman" w:cs="Times New Roman"/>
          <w:color w:val="222222"/>
        </w:rPr>
        <w:t xml:space="preserve">, </w:t>
      </w:r>
      <w:r>
        <w:rPr>
          <w:rFonts w:ascii="Times New Roman" w:eastAsia="Times New Roman" w:hAnsi="Times New Roman" w:cs="Times New Roman"/>
          <w:color w:val="000000"/>
        </w:rPr>
        <w:t xml:space="preserve">to allow for long-term </w:t>
      </w:r>
      <w:r>
        <w:rPr>
          <w:rFonts w:ascii="Times New Roman" w:eastAsia="Times New Roman" w:hAnsi="Times New Roman" w:cs="Times New Roman"/>
        </w:rPr>
        <w:t>continuous</w:t>
      </w:r>
      <w:r>
        <w:rPr>
          <w:rFonts w:ascii="Times New Roman" w:eastAsia="Times New Roman" w:hAnsi="Times New Roman" w:cs="Times New Roman"/>
          <w:color w:val="000000"/>
        </w:rPr>
        <w:t xml:space="preserve"> monitoring of the area in </w:t>
      </w:r>
      <w:r>
        <w:rPr>
          <w:rFonts w:ascii="Times New Roman" w:eastAsia="Times New Roman" w:hAnsi="Times New Roman" w:cs="Times New Roman"/>
          <w:color w:val="000000"/>
        </w:rPr>
        <w:lastRenderedPageBreak/>
        <w:t xml:space="preserve">case the plume migrates further into the Fairlington Meadows community. </w:t>
      </w:r>
      <w:r w:rsidR="00601D7D">
        <w:rPr>
          <w:rFonts w:ascii="Times New Roman" w:eastAsia="Times New Roman" w:hAnsi="Times New Roman" w:cs="Times New Roman"/>
          <w:color w:val="000000"/>
        </w:rPr>
        <w:t xml:space="preserve">By July 2021, this concentration had decreased to 58.2 ppb. </w:t>
      </w:r>
      <w:r>
        <w:rPr>
          <w:rFonts w:ascii="Times New Roman" w:eastAsia="Times New Roman" w:hAnsi="Times New Roman" w:cs="Times New Roman"/>
          <w:color w:val="222222"/>
        </w:rPr>
        <w:t>The permanent sampling well will be tested semi-annually for the next two years and then annually for three years, assuming no movement in the PCE groundwater plume. After five years, the sampling schedule will be re-evaluated.</w:t>
      </w:r>
    </w:p>
    <w:p w14:paraId="00000018"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rPr>
      </w:pPr>
    </w:p>
    <w:p w14:paraId="470AA90E" w14:textId="542E4151" w:rsidR="000E473A" w:rsidRDefault="00352D18" w:rsidP="000E473A">
      <w:pPr>
        <w:pStyle w:val="Normal1"/>
        <w:pBdr>
          <w:top w:val="nil"/>
          <w:left w:val="nil"/>
          <w:bottom w:val="nil"/>
          <w:right w:val="nil"/>
          <w:between w:val="nil"/>
        </w:pBdr>
        <w:tabs>
          <w:tab w:val="left" w:pos="1080"/>
        </w:tabs>
        <w:rPr>
          <w:rFonts w:ascii="Times New Roman" w:eastAsia="Times New Roman" w:hAnsi="Times New Roman" w:cs="Times New Roman"/>
          <w:color w:val="222222"/>
        </w:rPr>
      </w:pPr>
      <w:r>
        <w:rPr>
          <w:rFonts w:ascii="Times New Roman" w:eastAsia="Times New Roman" w:hAnsi="Times New Roman" w:cs="Times New Roman"/>
        </w:rPr>
        <w:t xml:space="preserve">Upon installation December/January 2018, a sample was taken indicating a PCE concentration of 108 parts per billion, a TCE concentration of 7.2 parts per billion, and a </w:t>
      </w:r>
      <w:r>
        <w:rPr>
          <w:rFonts w:ascii="Times New Roman" w:eastAsia="Times New Roman" w:hAnsi="Times New Roman" w:cs="Times New Roman"/>
          <w:color w:val="222222"/>
        </w:rPr>
        <w:t>c12DCO</w:t>
      </w:r>
      <w:r>
        <w:rPr>
          <w:rFonts w:ascii="Times New Roman" w:eastAsia="Times New Roman" w:hAnsi="Times New Roman" w:cs="Times New Roman"/>
        </w:rPr>
        <w:t xml:space="preserve"> concentration of 6 parts per billion. The </w:t>
      </w:r>
      <w:r w:rsidR="00601D7D">
        <w:rPr>
          <w:rFonts w:ascii="Times New Roman" w:eastAsia="Times New Roman" w:hAnsi="Times New Roman" w:cs="Times New Roman"/>
        </w:rPr>
        <w:t>August 2021</w:t>
      </w:r>
      <w:r>
        <w:rPr>
          <w:rFonts w:ascii="Times New Roman" w:eastAsia="Times New Roman" w:hAnsi="Times New Roman" w:cs="Times New Roman"/>
        </w:rPr>
        <w:t xml:space="preserve"> report, indicates a decline in all levels </w:t>
      </w:r>
      <w:r w:rsidR="00601D7D">
        <w:rPr>
          <w:rFonts w:ascii="Times New Roman" w:eastAsia="Times New Roman" w:hAnsi="Times New Roman" w:cs="Times New Roman"/>
        </w:rPr>
        <w:t>from 2019 levels.</w:t>
      </w:r>
    </w:p>
    <w:p w14:paraId="624DE800" w14:textId="77777777" w:rsidR="000E473A" w:rsidRDefault="000E473A" w:rsidP="000E473A">
      <w:pPr>
        <w:pStyle w:val="Normal1"/>
        <w:pBdr>
          <w:top w:val="nil"/>
          <w:left w:val="nil"/>
          <w:bottom w:val="nil"/>
          <w:right w:val="nil"/>
          <w:between w:val="nil"/>
        </w:pBdr>
        <w:tabs>
          <w:tab w:val="left" w:pos="1080"/>
        </w:tabs>
        <w:rPr>
          <w:rFonts w:ascii="Times New Roman" w:eastAsia="Times New Roman" w:hAnsi="Times New Roman" w:cs="Times New Roman"/>
          <w:color w:val="222222"/>
        </w:rPr>
      </w:pPr>
    </w:p>
    <w:p w14:paraId="00000019" w14:textId="05C0B82B" w:rsidR="00E22A64" w:rsidRDefault="000E473A" w:rsidP="000E473A">
      <w:pPr>
        <w:pStyle w:val="Normal1"/>
        <w:pBdr>
          <w:top w:val="nil"/>
          <w:left w:val="nil"/>
          <w:bottom w:val="nil"/>
          <w:right w:val="nil"/>
          <w:between w:val="nil"/>
        </w:pBdr>
        <w:tabs>
          <w:tab w:val="left" w:pos="1080"/>
        </w:tabs>
        <w:rPr>
          <w:rFonts w:ascii="Times New Roman" w:eastAsia="Times New Roman" w:hAnsi="Times New Roman" w:cs="Times New Roman"/>
          <w:color w:val="222222"/>
        </w:rPr>
      </w:pPr>
      <w:r w:rsidRPr="000E473A">
        <w:rPr>
          <w:rFonts w:ascii="Times New Roman" w:eastAsia="Times New Roman" w:hAnsi="Times New Roman" w:cs="Times New Roman"/>
          <w:color w:val="222222"/>
        </w:rPr>
        <w:t xml:space="preserve">The available data </w:t>
      </w:r>
      <w:r>
        <w:rPr>
          <w:rFonts w:ascii="Times New Roman" w:eastAsia="Times New Roman" w:hAnsi="Times New Roman" w:cs="Times New Roman"/>
          <w:color w:val="222222"/>
        </w:rPr>
        <w:t xml:space="preserve">from the 2021 monitoring </w:t>
      </w:r>
      <w:r w:rsidRPr="000E473A">
        <w:rPr>
          <w:rFonts w:ascii="Times New Roman" w:eastAsia="Times New Roman" w:hAnsi="Times New Roman" w:cs="Times New Roman"/>
          <w:color w:val="222222"/>
        </w:rPr>
        <w:t>continues to support previous interpretations of the contaminant plume’s</w:t>
      </w:r>
      <w:r>
        <w:rPr>
          <w:rFonts w:ascii="Times New Roman" w:eastAsia="Times New Roman" w:hAnsi="Times New Roman" w:cs="Times New Roman"/>
          <w:color w:val="222222"/>
        </w:rPr>
        <w:t xml:space="preserve"> </w:t>
      </w:r>
      <w:r w:rsidRPr="000E473A">
        <w:rPr>
          <w:rFonts w:ascii="Times New Roman" w:eastAsia="Times New Roman" w:hAnsi="Times New Roman" w:cs="Times New Roman"/>
          <w:color w:val="222222"/>
        </w:rPr>
        <w:t xml:space="preserve">location and that it can be expected to degrade naturally. </w:t>
      </w:r>
      <w:proofErr w:type="spellStart"/>
      <w:r w:rsidRPr="000E473A">
        <w:rPr>
          <w:rFonts w:ascii="Times New Roman" w:eastAsia="Times New Roman" w:hAnsi="Times New Roman" w:cs="Times New Roman"/>
          <w:color w:val="222222"/>
        </w:rPr>
        <w:t>Subslab</w:t>
      </w:r>
      <w:proofErr w:type="spellEnd"/>
      <w:r w:rsidRPr="000E473A">
        <w:rPr>
          <w:rFonts w:ascii="Times New Roman" w:eastAsia="Times New Roman" w:hAnsi="Times New Roman" w:cs="Times New Roman"/>
          <w:color w:val="222222"/>
        </w:rPr>
        <w:t xml:space="preserve"> depressurization systems</w:t>
      </w:r>
      <w:r>
        <w:rPr>
          <w:rFonts w:ascii="Times New Roman" w:eastAsia="Times New Roman" w:hAnsi="Times New Roman" w:cs="Times New Roman"/>
          <w:color w:val="222222"/>
        </w:rPr>
        <w:t xml:space="preserve"> </w:t>
      </w:r>
      <w:r w:rsidRPr="000E473A">
        <w:rPr>
          <w:rFonts w:ascii="Times New Roman" w:eastAsia="Times New Roman" w:hAnsi="Times New Roman" w:cs="Times New Roman"/>
          <w:color w:val="222222"/>
        </w:rPr>
        <w:t>(SSDSs) were inspected and found to be working properly. ECS will collect another round</w:t>
      </w:r>
      <w:r>
        <w:rPr>
          <w:rFonts w:ascii="Times New Roman" w:eastAsia="Times New Roman" w:hAnsi="Times New Roman" w:cs="Times New Roman"/>
          <w:color w:val="222222"/>
        </w:rPr>
        <w:t xml:space="preserve"> </w:t>
      </w:r>
      <w:r w:rsidRPr="000E473A">
        <w:rPr>
          <w:rFonts w:ascii="Times New Roman" w:eastAsia="Times New Roman" w:hAnsi="Times New Roman" w:cs="Times New Roman"/>
          <w:color w:val="222222"/>
        </w:rPr>
        <w:t>of groundwater samples from onsite areas and the Glen and Meadows permanent</w:t>
      </w:r>
      <w:r>
        <w:rPr>
          <w:rFonts w:ascii="Times New Roman" w:eastAsia="Times New Roman" w:hAnsi="Times New Roman" w:cs="Times New Roman"/>
          <w:color w:val="222222"/>
        </w:rPr>
        <w:t xml:space="preserve"> </w:t>
      </w:r>
      <w:r w:rsidRPr="000E473A">
        <w:rPr>
          <w:rFonts w:ascii="Times New Roman" w:eastAsia="Times New Roman" w:hAnsi="Times New Roman" w:cs="Times New Roman"/>
          <w:color w:val="222222"/>
        </w:rPr>
        <w:t>monitoring wells in June 2022.</w:t>
      </w:r>
    </w:p>
    <w:p w14:paraId="0000001A"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222222"/>
        </w:rPr>
      </w:pPr>
    </w:p>
    <w:p w14:paraId="0000001C" w14:textId="77777777" w:rsidR="00E22A64" w:rsidRDefault="00E22A64">
      <w:pPr>
        <w:pStyle w:val="Normal1"/>
        <w:rPr>
          <w:rFonts w:ascii="Times New Roman" w:eastAsia="Times New Roman" w:hAnsi="Times New Roman" w:cs="Times New Roman"/>
        </w:rPr>
      </w:pPr>
    </w:p>
    <w:p w14:paraId="0000001D" w14:textId="77777777" w:rsidR="00E22A64" w:rsidRDefault="00352D18">
      <w:pPr>
        <w:pStyle w:val="Normal1"/>
        <w:pBdr>
          <w:top w:val="nil"/>
          <w:left w:val="nil"/>
          <w:bottom w:val="nil"/>
          <w:right w:val="nil"/>
          <w:between w:val="nil"/>
        </w:pBdr>
        <w:tabs>
          <w:tab w:val="left" w:pos="108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1E" w14:textId="77777777" w:rsidR="00E22A64" w:rsidRDefault="00E22A64">
      <w:pPr>
        <w:pStyle w:val="Normal1"/>
        <w:pBdr>
          <w:top w:val="nil"/>
          <w:left w:val="nil"/>
          <w:bottom w:val="nil"/>
          <w:right w:val="nil"/>
          <w:between w:val="nil"/>
        </w:pBdr>
        <w:tabs>
          <w:tab w:val="left" w:pos="1080"/>
        </w:tabs>
        <w:rPr>
          <w:rFonts w:ascii="Times New Roman" w:eastAsia="Times New Roman" w:hAnsi="Times New Roman" w:cs="Times New Roman"/>
          <w:color w:val="000000"/>
        </w:rPr>
      </w:pPr>
    </w:p>
    <w:p w14:paraId="0000001F" w14:textId="77777777" w:rsidR="00E22A64" w:rsidRDefault="00E22A64">
      <w:pPr>
        <w:pStyle w:val="Normal1"/>
      </w:pPr>
    </w:p>
    <w:sectPr w:rsidR="00E22A6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64"/>
    <w:rsid w:val="0009312F"/>
    <w:rsid w:val="000E473A"/>
    <w:rsid w:val="00352D18"/>
    <w:rsid w:val="00601D7D"/>
    <w:rsid w:val="006D4699"/>
    <w:rsid w:val="00E22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5FEDF"/>
  <w15:docId w15:val="{BD9391DB-872F-C64B-9411-37BF820D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Brown</cp:lastModifiedBy>
  <cp:revision>2</cp:revision>
  <dcterms:created xsi:type="dcterms:W3CDTF">2021-08-30T15:38:00Z</dcterms:created>
  <dcterms:modified xsi:type="dcterms:W3CDTF">2021-08-30T15:38:00Z</dcterms:modified>
</cp:coreProperties>
</file>